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E4" w:rsidRDefault="00270BE4" w:rsidP="00270BE4">
      <w:pPr>
        <w:rPr>
          <w:rFonts w:ascii="Arial" w:eastAsia="Calibri" w:hAnsi="Arial" w:cs="Arial"/>
          <w:bCs/>
          <w:i/>
          <w:iCs/>
          <w:kern w:val="36"/>
        </w:rPr>
      </w:pPr>
      <w:r w:rsidRPr="00270BE4">
        <w:rPr>
          <w:rFonts w:ascii="Arial" w:eastAsia="Calibri" w:hAnsi="Arial" w:cs="Arial"/>
          <w:bCs/>
          <w:i/>
          <w:iCs/>
          <w:kern w:val="36"/>
        </w:rPr>
        <w:t>Федеральный закон от 30.04.2021 N 126-ФЗ</w:t>
      </w:r>
    </w:p>
    <w:p w:rsidR="00270BE4" w:rsidRDefault="00270BE4" w:rsidP="00270BE4"/>
    <w:p w:rsidR="00270BE4" w:rsidRPr="00A13EC8" w:rsidRDefault="00270BE4" w:rsidP="00270BE4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A13EC8">
        <w:rPr>
          <w:rFonts w:ascii="Arial" w:eastAsia="Calibri" w:hAnsi="Arial" w:cs="Arial"/>
          <w:iCs/>
        </w:rPr>
        <w:t>В Федеральные законы от 24.07.1998 N 125-ФЗ, от 29.12.2006 N 255-ФЗ внесли изменения. Основное новшество – закреплен механизм выплаты пособий напрямую из ФСС. Таким образом, зачетного механизма выплаты пособий больше не будет. Закон в полном объеме вступит в силу с 01.01.2022.</w:t>
      </w:r>
    </w:p>
    <w:p w:rsidR="00586927" w:rsidRDefault="00586927"/>
    <w:p w:rsidR="00270BE4" w:rsidRPr="00270BE4" w:rsidRDefault="00270BE4" w:rsidP="00270BE4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270BE4">
        <w:rPr>
          <w:rFonts w:ascii="Arial" w:eastAsia="Calibri" w:hAnsi="Arial" w:cs="Arial"/>
          <w:iCs/>
          <w:u w:val="single"/>
        </w:rPr>
        <w:t>Приказа ФНС России от 30.05.2007 N ММ-3-06/333@</w:t>
      </w:r>
      <w:r w:rsidRPr="00270BE4">
        <w:rPr>
          <w:rFonts w:ascii="Arial" w:hAnsi="Arial" w:cs="Arial"/>
        </w:rPr>
        <w:t>.</w:t>
      </w:r>
    </w:p>
    <w:p w:rsidR="00270BE4" w:rsidRDefault="00270BE4" w:rsidP="00270BE4">
      <w:pPr>
        <w:pStyle w:val="ConsPlusNormal"/>
        <w:spacing w:before="120"/>
        <w:jc w:val="both"/>
        <w:rPr>
          <w:sz w:val="24"/>
          <w:szCs w:val="24"/>
        </w:rPr>
      </w:pPr>
      <w:r w:rsidRPr="002E16B7">
        <w:rPr>
          <w:rFonts w:eastAsia="Calibri"/>
          <w:iCs/>
          <w:sz w:val="24"/>
          <w:szCs w:val="24"/>
        </w:rPr>
        <w:t>ФНС опубликовала значения среднеотраслевых показателей налоговой нагрузки, рентабельности продаж и рентабельности активов организаций по видам деятельности за 2020 г. Эти показатели помогут налогоплательщикам самостоятельно оценить риск назначения выездной налоговой проверки. Сведения размещены в разделе «Контрольная работа» на сайте ФНС.</w:t>
      </w:r>
    </w:p>
    <w:p w:rsidR="00270BE4" w:rsidRDefault="00270BE4"/>
    <w:sectPr w:rsidR="00270BE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0BE4"/>
    <w:rsid w:val="00011A8F"/>
    <w:rsid w:val="00270BE4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C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E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0BE4"/>
    <w:rPr>
      <w:color w:val="0000FF"/>
      <w:u w:val="single"/>
    </w:rPr>
  </w:style>
  <w:style w:type="paragraph" w:customStyle="1" w:styleId="ConsPlusNormal">
    <w:name w:val="ConsPlusNormal"/>
    <w:rsid w:val="00270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2021-05-14T04:05:00Z</dcterms:created>
  <dcterms:modified xsi:type="dcterms:W3CDTF">2021-05-14T04:06:00Z</dcterms:modified>
</cp:coreProperties>
</file>